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2687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33DCAD5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149B134A" w14:textId="3F3BA649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1401AA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C46B22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C3FC36B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538A8ED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79B569C1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3FA71344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079ADED0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B629380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6FC16958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69F3389F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32D01C15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74D20FD1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39B5BBFD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0BF9A484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032919FF" w14:textId="74FA101E" w:rsidR="00216C98" w:rsidRPr="00216C98" w:rsidRDefault="00412364" w:rsidP="001401AA">
      <w:pPr>
        <w:ind w:right="281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12364">
        <w:rPr>
          <w:rFonts w:ascii="Times New Roman" w:hAnsi="Times New Roman" w:cs="Times New Roman"/>
          <w:b/>
          <w:sz w:val="24"/>
          <w:szCs w:val="24"/>
          <w:lang w:val="pl-PL"/>
        </w:rPr>
        <w:t>„</w:t>
      </w:r>
      <w:r w:rsidR="001401AA" w:rsidRPr="001401AA">
        <w:rPr>
          <w:rFonts w:ascii="Times New Roman" w:hAnsi="Times New Roman" w:cs="Times New Roman"/>
          <w:b/>
          <w:sz w:val="24"/>
          <w:szCs w:val="24"/>
          <w:lang w:val="pl-PL"/>
        </w:rPr>
        <w:t>Wykonanie remontu komina żelbetowego H = 120m Elektrociepłowni Ciechanów Sp. z o.o. w 2025 r.</w:t>
      </w:r>
      <w:r w:rsidRPr="00412364">
        <w:rPr>
          <w:rFonts w:ascii="Times New Roman" w:hAnsi="Times New Roman" w:cs="Times New Roman"/>
          <w:b/>
          <w:sz w:val="24"/>
          <w:szCs w:val="24"/>
          <w:lang w:val="pl-PL"/>
        </w:rPr>
        <w:t>”.</w:t>
      </w:r>
    </w:p>
    <w:p w14:paraId="5AD70E66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75032D5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2ABABC5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58D840D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7B3BDC1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4276EE0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6795E7F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CEFF63E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</w:t>
      </w:r>
      <w:r w:rsidRPr="00216C98">
        <w:rPr>
          <w:szCs w:val="24"/>
        </w:rPr>
        <w:lastRenderedPageBreak/>
        <w:t>przestępstwo udziału w zorganizowanej grupie albo związku mających na celu popełnienie przestępstwa lub przestępstwa skarbowego;</w:t>
      </w:r>
    </w:p>
    <w:p w14:paraId="1CC6A5B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0BD0BE7E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228AD2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4D87B903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AD18DFD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04412451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21ADF36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6BF205C3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3ED4004D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661C6A8E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6B30A898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44C0B559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2FF9E0FD" w14:textId="77777777" w:rsidR="00B95C58" w:rsidRPr="00306D3E" w:rsidRDefault="00216C98" w:rsidP="00306D3E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20391298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88B0C0A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959A5AA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306D3E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</w:p>
    <w:p w14:paraId="1F352FEB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1569C" w14:textId="77777777" w:rsidR="003D5384" w:rsidRDefault="003D5384">
      <w:r>
        <w:separator/>
      </w:r>
    </w:p>
  </w:endnote>
  <w:endnote w:type="continuationSeparator" w:id="0">
    <w:p w14:paraId="506A667A" w14:textId="77777777" w:rsidR="003D5384" w:rsidRDefault="003D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37FF" w14:textId="77777777" w:rsidR="00B95C58" w:rsidRDefault="00B95C58">
    <w:pPr>
      <w:pStyle w:val="Stopka"/>
    </w:pPr>
  </w:p>
  <w:p w14:paraId="77F826AC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8FE75" w14:textId="77777777" w:rsidR="003D5384" w:rsidRDefault="003D5384">
      <w:r>
        <w:separator/>
      </w:r>
    </w:p>
  </w:footnote>
  <w:footnote w:type="continuationSeparator" w:id="0">
    <w:p w14:paraId="7D4CD199" w14:textId="77777777" w:rsidR="003D5384" w:rsidRDefault="003D5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5B2E6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50323E" wp14:editId="55A430B1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CCAAC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9D0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" filled="f" stroked="f">
              <v:textbox inset="0,0,0,0">
                <w:txbxContent>
                  <w:p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4063300">
    <w:abstractNumId w:val="4"/>
  </w:num>
  <w:num w:numId="2" w16cid:durableId="1152870906">
    <w:abstractNumId w:val="2"/>
  </w:num>
  <w:num w:numId="3" w16cid:durableId="728109609">
    <w:abstractNumId w:val="0"/>
  </w:num>
  <w:num w:numId="4" w16cid:durableId="145051358">
    <w:abstractNumId w:val="1"/>
  </w:num>
  <w:num w:numId="5" w16cid:durableId="117841613">
    <w:abstractNumId w:val="12"/>
  </w:num>
  <w:num w:numId="6" w16cid:durableId="1485658423">
    <w:abstractNumId w:val="8"/>
  </w:num>
  <w:num w:numId="7" w16cid:durableId="927469170">
    <w:abstractNumId w:val="11"/>
  </w:num>
  <w:num w:numId="8" w16cid:durableId="745228863">
    <w:abstractNumId w:val="3"/>
  </w:num>
  <w:num w:numId="9" w16cid:durableId="326984937">
    <w:abstractNumId w:val="9"/>
  </w:num>
  <w:num w:numId="10" w16cid:durableId="948122834">
    <w:abstractNumId w:val="10"/>
  </w:num>
  <w:num w:numId="11" w16cid:durableId="521744586">
    <w:abstractNumId w:val="7"/>
  </w:num>
  <w:num w:numId="12" w16cid:durableId="512569804">
    <w:abstractNumId w:val="5"/>
  </w:num>
  <w:num w:numId="13" w16cid:durableId="307175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90769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0B2051"/>
    <w:rsid w:val="000C0CD0"/>
    <w:rsid w:val="000E08DB"/>
    <w:rsid w:val="001401AA"/>
    <w:rsid w:val="00175FFF"/>
    <w:rsid w:val="00187249"/>
    <w:rsid w:val="001D1759"/>
    <w:rsid w:val="00216C98"/>
    <w:rsid w:val="00235BA5"/>
    <w:rsid w:val="00306D3E"/>
    <w:rsid w:val="0038351B"/>
    <w:rsid w:val="003D5384"/>
    <w:rsid w:val="003E0E42"/>
    <w:rsid w:val="00412364"/>
    <w:rsid w:val="004430CE"/>
    <w:rsid w:val="00484E83"/>
    <w:rsid w:val="00550C7B"/>
    <w:rsid w:val="00596BE4"/>
    <w:rsid w:val="005A62BF"/>
    <w:rsid w:val="00607660"/>
    <w:rsid w:val="00625E15"/>
    <w:rsid w:val="00645492"/>
    <w:rsid w:val="006676E9"/>
    <w:rsid w:val="00672A42"/>
    <w:rsid w:val="006B3835"/>
    <w:rsid w:val="006C0492"/>
    <w:rsid w:val="007329CB"/>
    <w:rsid w:val="007D104C"/>
    <w:rsid w:val="007D2E83"/>
    <w:rsid w:val="00866916"/>
    <w:rsid w:val="00897FD8"/>
    <w:rsid w:val="008A1A9A"/>
    <w:rsid w:val="008C3320"/>
    <w:rsid w:val="008D1DD3"/>
    <w:rsid w:val="00943047"/>
    <w:rsid w:val="00952615"/>
    <w:rsid w:val="009666FC"/>
    <w:rsid w:val="0097123F"/>
    <w:rsid w:val="009F214B"/>
    <w:rsid w:val="00A82C7C"/>
    <w:rsid w:val="00AB4CA7"/>
    <w:rsid w:val="00B04D87"/>
    <w:rsid w:val="00B07300"/>
    <w:rsid w:val="00B61717"/>
    <w:rsid w:val="00B95C58"/>
    <w:rsid w:val="00BD5FEE"/>
    <w:rsid w:val="00C13F14"/>
    <w:rsid w:val="00C155B8"/>
    <w:rsid w:val="00C46B22"/>
    <w:rsid w:val="00CA0586"/>
    <w:rsid w:val="00CC0F5A"/>
    <w:rsid w:val="00D356A0"/>
    <w:rsid w:val="00DD268A"/>
    <w:rsid w:val="00E028AB"/>
    <w:rsid w:val="00E6146D"/>
    <w:rsid w:val="00E7388D"/>
    <w:rsid w:val="00F00910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0B4E27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06F6-93AF-474F-9D73-21E8FE5D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2025-03-25T11:44:00Z</dcterms:created>
  <dcterms:modified xsi:type="dcterms:W3CDTF">2025-03-25T11:44:00Z</dcterms:modified>
</cp:coreProperties>
</file>